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4B568F" w:rsidRPr="004B568F" w:rsidTr="004B568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8F" w:rsidRPr="004B568F" w:rsidRDefault="004B568F" w:rsidP="004B568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5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TÀI CHÍNH</w:t>
            </w:r>
            <w:r w:rsidRPr="004B5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CỤC THUẾ</w:t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8F" w:rsidRPr="004B568F" w:rsidRDefault="004B568F" w:rsidP="004B568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4B568F" w:rsidRPr="004B568F" w:rsidTr="004B568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8F" w:rsidRPr="004B568F" w:rsidRDefault="004B568F" w:rsidP="004B568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1047/TCT-DNL</w:t>
            </w:r>
            <w:r w:rsidRPr="004B5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V/v: chi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phí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hỗ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trợ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đối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với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khoản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chi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hỗ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trợ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nhân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viên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bán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hàng</w:t>
            </w:r>
            <w:proofErr w:type="spell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8F" w:rsidRPr="004B568F" w:rsidRDefault="004B568F" w:rsidP="004B568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27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4B5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2019</w:t>
            </w:r>
          </w:p>
        </w:tc>
      </w:tr>
    </w:tbl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</w:t>
      </w:r>
      <w:proofErr w:type="spellEnd"/>
      <w:r w:rsidRPr="004B568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b/>
          <w:bCs/>
          <w:color w:val="000000"/>
          <w:sz w:val="18"/>
          <w:szCs w:val="18"/>
        </w:rPr>
        <w:t>gửi</w:t>
      </w:r>
      <w:proofErr w:type="spellEnd"/>
      <w:r w:rsidRPr="004B568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Bưu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Nam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đường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Hùng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Mỹ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2, Nam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Liêm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4B5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cục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903/BĐVN-TCKT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12/3/2019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Bưu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Nam (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TNDN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cục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B568F" w:rsidRPr="004B568F" w:rsidRDefault="004B568F" w:rsidP="004B568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0" w:name="dc_1"/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2.6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96/2015/TT-BTC</w:t>
      </w:r>
      <w:bookmarkEnd w:id="0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22/6/2015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sung </w:t>
      </w:r>
      <w:bookmarkStart w:id="1" w:name="dc_2"/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78/2014/TT-BTC</w:t>
      </w:r>
      <w:bookmarkEnd w:id="1"/>
      <w:r w:rsidRPr="004B568F">
        <w:rPr>
          <w:rFonts w:ascii="Arial" w:eastAsia="Times New Roman" w:hAnsi="Arial" w:cs="Arial"/>
          <w:color w:val="000000"/>
          <w:sz w:val="18"/>
          <w:szCs w:val="18"/>
        </w:rPr>
        <w:t> (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" w:name="dc_3"/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119/2014/TT-BTC</w:t>
      </w:r>
      <w:bookmarkEnd w:id="2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" w:name="dc_4"/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151/2014/TT-BTC</w:t>
      </w:r>
      <w:bookmarkEnd w:id="3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“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6.</w:t>
      </w:r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hoá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hoá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hoá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20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GTGT)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>…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>…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2.6.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lương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>…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lương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thọ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”.</w:t>
      </w:r>
    </w:p>
    <w:p w:rsidR="004B568F" w:rsidRPr="004B568F" w:rsidRDefault="004B568F" w:rsidP="004B568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4" w:name="dc_5"/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b,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25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111/2013/TT-BTC</w:t>
      </w:r>
      <w:bookmarkEnd w:id="4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15/8/2013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B568F">
        <w:rPr>
          <w:rFonts w:ascii="Arial" w:eastAsia="Times New Roman" w:hAnsi="Arial" w:cs="Arial"/>
          <w:color w:val="0E70C3"/>
          <w:sz w:val="18"/>
        </w:rPr>
        <w:t>65/2013/NĐ-CP</w:t>
      </w:r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b) Thu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lương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b.1)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(03)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khấu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luỹ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(03)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b.2)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(03)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nghỉ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khấu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luỹ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lastRenderedPageBreak/>
        <w:t>…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Khấu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thù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c, d,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(03)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(2.000.000)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khấu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10%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>…”</w:t>
      </w:r>
    </w:p>
    <w:p w:rsidR="004B568F" w:rsidRPr="004B568F" w:rsidRDefault="004B568F" w:rsidP="004B568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khích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5" w:name="dc_6"/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96/2015/TT-BTC</w:t>
      </w:r>
      <w:bookmarkEnd w:id="5"/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22/6/2015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khích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khấu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khích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cục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ty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Bưu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B5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proofErr w:type="gramStart"/>
      <w:r w:rsidRPr="004B568F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4B5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B568F" w:rsidRPr="004B568F" w:rsidRDefault="004B568F" w:rsidP="004B5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568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8"/>
        <w:gridCol w:w="5217"/>
      </w:tblGrid>
      <w:tr w:rsidR="004B568F" w:rsidRPr="004B568F" w:rsidTr="004B568F">
        <w:trPr>
          <w:tblCellSpacing w:w="0" w:type="dxa"/>
        </w:trPr>
        <w:tc>
          <w:tcPr>
            <w:tcW w:w="4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8F" w:rsidRPr="004B568F" w:rsidRDefault="004B568F" w:rsidP="004B568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56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  <w:p w:rsidR="004B568F" w:rsidRPr="004B568F" w:rsidRDefault="004B568F" w:rsidP="004B568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B56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4B56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4B56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Cục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Thuế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tỉnh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thành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phố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trực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thuộc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TW;</w:t>
            </w:r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Vụ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PC, CS (TCT);</w:t>
            </w:r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4B56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VT, DNL (2b).</w:t>
            </w:r>
          </w:p>
        </w:tc>
        <w:tc>
          <w:tcPr>
            <w:tcW w:w="52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8F" w:rsidRPr="004B568F" w:rsidRDefault="004B568F" w:rsidP="004B568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KT. TỔNG CỤC TRƯỞNG</w:t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PHÓ TỔNG CỤC TRƯỞNG</w:t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Đặng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Ngọc</w:t>
            </w:r>
            <w:proofErr w:type="spellEnd"/>
            <w:r w:rsidRPr="004B5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Minh</w:t>
            </w:r>
          </w:p>
        </w:tc>
      </w:tr>
    </w:tbl>
    <w:p w:rsidR="000533AC" w:rsidRDefault="000533AC"/>
    <w:sectPr w:rsidR="00053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4B568F"/>
    <w:rsid w:val="000533AC"/>
    <w:rsid w:val="004B568F"/>
    <w:rsid w:val="0076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4046</Characters>
  <Application>Microsoft Office Word</Application>
  <DocSecurity>0</DocSecurity>
  <Lines>33</Lines>
  <Paragraphs>9</Paragraphs>
  <ScaleCrop>false</ScaleCrop>
  <Company>Grizli777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SunUp</dc:creator>
  <cp:keywords/>
  <dc:description/>
  <cp:lastModifiedBy>SunUp</cp:lastModifiedBy>
  <cp:revision>3</cp:revision>
  <dcterms:created xsi:type="dcterms:W3CDTF">2020-03-09T06:31:00Z</dcterms:created>
  <dcterms:modified xsi:type="dcterms:W3CDTF">2020-03-09T06:34:00Z</dcterms:modified>
</cp:coreProperties>
</file>